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="00AC1185">
        <w:t xml:space="preserve"> VTS39</w:t>
      </w:r>
      <w:r>
        <w:t>-</w:t>
      </w:r>
      <w:r w:rsidR="0052475E">
        <w:t>5.1</w:t>
      </w:r>
      <w:bookmarkStart w:id="0" w:name="_GoBack"/>
      <w:bookmarkEnd w:id="0"/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AC1185"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AC1185">
        <w:rPr>
          <w:rFonts w:cs="Arial"/>
          <w:sz w:val="24"/>
          <w:szCs w:val="24"/>
        </w:rPr>
        <w:tab/>
      </w:r>
      <w:r w:rsidR="0058697B">
        <w:rPr>
          <w:rFonts w:cs="Arial"/>
          <w:b/>
          <w:sz w:val="24"/>
          <w:szCs w:val="24"/>
        </w:rPr>
        <w:t>V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58697B">
        <w:rPr>
          <w:rFonts w:cs="Arial"/>
          <w:b/>
          <w:sz w:val="24"/>
          <w:szCs w:val="24"/>
        </w:rPr>
        <w:t>V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58697B">
        <w:rPr>
          <w:rFonts w:cs="Arial"/>
          <w:b/>
          <w:sz w:val="24"/>
          <w:szCs w:val="24"/>
        </w:rPr>
        <w:t>V</w:t>
      </w:r>
      <w:r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58697B">
        <w:t xml:space="preserve">5 </w:t>
      </w:r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58697B">
        <w:t>Report from custodian IALA Dictionary - VTS part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58697B">
        <w:t xml:space="preserve">Cees </w:t>
      </w:r>
      <w:proofErr w:type="spellStart"/>
      <w:r w:rsidR="0058697B">
        <w:t>Stedehouder</w:t>
      </w:r>
      <w:proofErr w:type="spellEnd"/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58697B" w:rsidP="00A446C9">
      <w:pPr>
        <w:pStyle w:val="Title"/>
      </w:pPr>
      <w:r>
        <w:t>Updat</w:t>
      </w:r>
      <w:r w:rsidR="007F26C7">
        <w:t xml:space="preserve">e </w:t>
      </w:r>
      <w:r>
        <w:t>IALA Dictionary - VTS part</w:t>
      </w:r>
    </w:p>
    <w:p w:rsidR="00A446C9" w:rsidRDefault="00A446C9" w:rsidP="00A446C9">
      <w:pPr>
        <w:pStyle w:val="Heading1"/>
      </w:pPr>
      <w:r>
        <w:t>Summary</w:t>
      </w:r>
    </w:p>
    <w:p w:rsidR="0058697B" w:rsidRDefault="00851373" w:rsidP="00B56BDF">
      <w:pPr>
        <w:pStyle w:val="BodyText"/>
        <w:rPr>
          <w:lang w:eastAsia="de-DE"/>
        </w:rPr>
      </w:pPr>
      <w:r>
        <w:rPr>
          <w:lang w:eastAsia="de-DE"/>
        </w:rPr>
        <w:t xml:space="preserve">This template is meant to be used by </w:t>
      </w:r>
      <w:r w:rsidR="0058697B">
        <w:rPr>
          <w:lang w:eastAsia="de-DE"/>
        </w:rPr>
        <w:t xml:space="preserve">the IALA Dictionary custodian to implement new terms, </w:t>
      </w:r>
      <w:proofErr w:type="gramStart"/>
      <w:r w:rsidR="0058697B">
        <w:rPr>
          <w:lang w:eastAsia="de-DE"/>
        </w:rPr>
        <w:t>definitions</w:t>
      </w:r>
      <w:proofErr w:type="gramEnd"/>
      <w:r w:rsidR="0058697B">
        <w:rPr>
          <w:lang w:eastAsia="de-DE"/>
        </w:rPr>
        <w:t xml:space="preserve"> and or acronyms in the IALA Dictionary. </w:t>
      </w:r>
      <w:r w:rsidR="007F26C7">
        <w:rPr>
          <w:lang w:eastAsia="de-DE"/>
        </w:rPr>
        <w:t>After approval by t</w:t>
      </w:r>
      <w:r w:rsidR="00CE2E02">
        <w:rPr>
          <w:lang w:eastAsia="de-DE"/>
        </w:rPr>
        <w:t>he VTS Committee plenary and t</w:t>
      </w:r>
      <w:r w:rsidR="007F26C7">
        <w:rPr>
          <w:lang w:eastAsia="de-DE"/>
        </w:rPr>
        <w:t xml:space="preserve">he VTS Committee chair </w:t>
      </w:r>
      <w:r w:rsidR="00CE2E02">
        <w:rPr>
          <w:lang w:eastAsia="de-DE"/>
        </w:rPr>
        <w:t xml:space="preserve">this proposal </w:t>
      </w:r>
      <w:r w:rsidR="007F26C7">
        <w:rPr>
          <w:lang w:eastAsia="de-DE"/>
        </w:rPr>
        <w:t xml:space="preserve">can be </w:t>
      </w:r>
      <w:r w:rsidR="00CE2E02">
        <w:rPr>
          <w:lang w:eastAsia="de-DE"/>
        </w:rPr>
        <w:t>send to the VTS Committee Secretary</w:t>
      </w:r>
      <w:r w:rsidR="007F26C7">
        <w:rPr>
          <w:lang w:eastAsia="de-DE"/>
        </w:rPr>
        <w:t>. The next step is t</w:t>
      </w:r>
      <w:r w:rsidR="00CE2E02">
        <w:rPr>
          <w:lang w:eastAsia="de-DE"/>
        </w:rPr>
        <w:t xml:space="preserve">o inform other Committees, </w:t>
      </w:r>
      <w:r w:rsidR="00AC1185">
        <w:rPr>
          <w:lang w:eastAsia="de-DE"/>
        </w:rPr>
        <w:t xml:space="preserve">PAP and Council, </w:t>
      </w:r>
      <w:r w:rsidR="00CE2E02">
        <w:rPr>
          <w:lang w:eastAsia="de-DE"/>
        </w:rPr>
        <w:t>check validity and upload the items to the IALA Dictionary</w:t>
      </w:r>
      <w:r w:rsidR="007F26C7">
        <w:rPr>
          <w:lang w:eastAsia="de-DE"/>
        </w:rPr>
        <w:t xml:space="preserve"> (see document PAP22/7/1)</w:t>
      </w:r>
      <w:r w:rsidR="00CE2E02">
        <w:rPr>
          <w:lang w:eastAsia="de-DE"/>
        </w:rPr>
        <w:t xml:space="preserve">. </w:t>
      </w:r>
    </w:p>
    <w:p w:rsidR="00CE2E02" w:rsidRDefault="00CE2E02" w:rsidP="00B56BDF">
      <w:pPr>
        <w:pStyle w:val="BodyText"/>
        <w:rPr>
          <w:lang w:eastAsia="de-DE"/>
        </w:rPr>
      </w:pPr>
    </w:p>
    <w:p w:rsidR="00A446C9" w:rsidRDefault="00CE2E02" w:rsidP="00A446C9">
      <w:pPr>
        <w:pStyle w:val="Heading1"/>
      </w:pPr>
      <w:r>
        <w:t>RELATED DOCUMENT</w:t>
      </w:r>
    </w:p>
    <w:p w:rsidR="00CE2E02" w:rsidRDefault="00CE2E02" w:rsidP="00A446C9">
      <w:pPr>
        <w:pStyle w:val="BodyText"/>
      </w:pPr>
      <w:r>
        <w:t>IALA Guideline No. 1110: Use of Decision Support Tools for VTS personnel</w:t>
      </w:r>
      <w:r w:rsidR="007404B9">
        <w:t xml:space="preserve"> (</w:t>
      </w:r>
      <w:r w:rsidR="007F26C7">
        <w:t>E</w:t>
      </w:r>
      <w:r w:rsidR="007404B9">
        <w:t>d.1, Dec</w:t>
      </w:r>
      <w:r w:rsidR="007F26C7">
        <w:t xml:space="preserve">. </w:t>
      </w:r>
      <w:r>
        <w:t>2014</w:t>
      </w:r>
      <w:r w:rsidR="007404B9">
        <w:t>)</w:t>
      </w:r>
    </w:p>
    <w:p w:rsidR="000376AA" w:rsidRDefault="000376AA" w:rsidP="00A446C9">
      <w:pPr>
        <w:pStyle w:val="BodyText"/>
      </w:pPr>
    </w:p>
    <w:p w:rsidR="00A446C9" w:rsidRDefault="000376AA" w:rsidP="00A446C9">
      <w:pPr>
        <w:pStyle w:val="Heading1"/>
      </w:pPr>
      <w:r>
        <w:t>used definitions</w:t>
      </w:r>
    </w:p>
    <w:p w:rsidR="00F25BF4" w:rsidRDefault="000376AA" w:rsidP="00F25BF4">
      <w:pPr>
        <w:pStyle w:val="Heading2"/>
      </w:pPr>
      <w:r>
        <w:t>Acronyms</w:t>
      </w:r>
    </w:p>
    <w:tbl>
      <w:tblPr>
        <w:tblStyle w:val="TableGrid"/>
        <w:tblW w:w="0" w:type="auto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848"/>
        <w:gridCol w:w="1960"/>
        <w:gridCol w:w="6938"/>
      </w:tblGrid>
      <w:tr w:rsidR="00AC1185" w:rsidTr="00AC1185">
        <w:tc>
          <w:tcPr>
            <w:tcW w:w="851" w:type="dxa"/>
          </w:tcPr>
          <w:p w:rsidR="00AC1185" w:rsidRDefault="00AC1185" w:rsidP="000376AA">
            <w:pPr>
              <w:pStyle w:val="BodyText"/>
              <w:jc w:val="left"/>
            </w:pPr>
            <w:r>
              <w:t>3.1.1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IALA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5A5F6A">
              <w:t xml:space="preserve">International Association </w:t>
            </w:r>
            <w:r>
              <w:t>of</w:t>
            </w:r>
            <w:r w:rsidRPr="005A5F6A">
              <w:t xml:space="preserve"> Marine Aids to Navigation and Lighthouse Authorities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3.1.2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IMO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5A5F6A">
              <w:t>International Maritime Organization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3.1.3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VTS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5A5F6A">
              <w:t>Vessel Traffic Services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3.1.4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VTSO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>
              <w:t>VTS Operator is an appropriately qualified person performing one or more tasks contributing to the services of the VTS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0376AA">
            <w:pPr>
              <w:pStyle w:val="BodyText"/>
              <w:jc w:val="left"/>
            </w:pPr>
            <w:r>
              <w:t>3.1.5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INS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7C205F">
              <w:t>An information service is a service to ensure that essential information becomes available in time for on-board navigational decision-making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0376AA">
            <w:pPr>
              <w:pStyle w:val="BodyText"/>
              <w:jc w:val="left"/>
            </w:pPr>
            <w:r>
              <w:t>3.1.6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TOS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7C205F">
              <w:t xml:space="preserve">A traffic organization service is a service to prevent the development of dangerous maritime traffic situations and to provide for the safe </w:t>
            </w:r>
            <w:r w:rsidRPr="007C205F">
              <w:lastRenderedPageBreak/>
              <w:t>and efficient movement of vessel traffic within the VTS area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0376AA">
            <w:pPr>
              <w:pStyle w:val="BodyText"/>
              <w:jc w:val="left"/>
            </w:pPr>
            <w:r>
              <w:lastRenderedPageBreak/>
              <w:t>3.1.7</w:t>
            </w:r>
          </w:p>
        </w:tc>
        <w:tc>
          <w:tcPr>
            <w:tcW w:w="1984" w:type="dxa"/>
          </w:tcPr>
          <w:p w:rsidR="00AC1185" w:rsidRDefault="00AC1185" w:rsidP="000376AA">
            <w:pPr>
              <w:pStyle w:val="BodyText"/>
              <w:jc w:val="left"/>
            </w:pPr>
            <w:r>
              <w:t>NAS</w:t>
            </w:r>
          </w:p>
        </w:tc>
        <w:tc>
          <w:tcPr>
            <w:tcW w:w="7054" w:type="dxa"/>
          </w:tcPr>
          <w:p w:rsidR="00AC1185" w:rsidRDefault="00AC1185" w:rsidP="000376AA">
            <w:pPr>
              <w:pStyle w:val="BodyText"/>
              <w:jc w:val="left"/>
            </w:pPr>
            <w:r w:rsidRPr="007C205F">
              <w:t>A navigational assistance service is a service to assist on-board navigational decision-making and to monitor its effects</w:t>
            </w:r>
          </w:p>
        </w:tc>
      </w:tr>
    </w:tbl>
    <w:p w:rsidR="000376AA" w:rsidRDefault="000376AA" w:rsidP="000376AA">
      <w:pPr>
        <w:pStyle w:val="BodyText"/>
      </w:pPr>
    </w:p>
    <w:p w:rsidR="00A4231C" w:rsidRDefault="00A4231C" w:rsidP="00A4231C">
      <w:pPr>
        <w:pStyle w:val="Heading2"/>
        <w:rPr>
          <w:b w:val="0"/>
        </w:rPr>
      </w:pPr>
      <w:r>
        <w:t>Definitions</w:t>
      </w:r>
    </w:p>
    <w:tbl>
      <w:tblPr>
        <w:tblStyle w:val="TableGrid"/>
        <w:tblW w:w="0" w:type="auto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851"/>
        <w:gridCol w:w="1970"/>
        <w:gridCol w:w="6925"/>
      </w:tblGrid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3.2.1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Alarm</w:t>
            </w:r>
          </w:p>
        </w:tc>
        <w:tc>
          <w:tcPr>
            <w:tcW w:w="7054" w:type="dxa"/>
          </w:tcPr>
          <w:p w:rsidR="00AC1185" w:rsidRDefault="00AC1185" w:rsidP="00A4231C">
            <w:pPr>
              <w:pStyle w:val="BodyText"/>
              <w:jc w:val="left"/>
            </w:pPr>
            <w:r>
              <w:t>A high priority alert requiring immediate attention and action (IMO Res. A1021(26))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3.2.2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Alert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>
              <w:t>An announcement of abnormal situations and conditions requiring attentions (IMO Res. A1021(26))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3.2.3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Caution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>
              <w:rPr>
                <w:rFonts w:ascii="ArialMT" w:hAnsi="ArialMT" w:cs="ArialMT"/>
              </w:rPr>
              <w:t xml:space="preserve">Lowest priority of an alert. Awareness of a condition which does not warrant an alarm or warning condition, but still requires attention out of the ordinary consideration of the situation or of given information </w:t>
            </w:r>
            <w:r>
              <w:t>(IMO Res. A1021(26))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3.2.4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Warning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 w:rsidRPr="00823FC0">
              <w:t>Condition requiring immediate atten</w:t>
            </w:r>
            <w:r>
              <w:t>tion, but not immediate action (IMO Res. A1021(26))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3.2.5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Emergency alarm</w:t>
            </w:r>
          </w:p>
        </w:tc>
        <w:tc>
          <w:tcPr>
            <w:tcW w:w="7054" w:type="dxa"/>
          </w:tcPr>
          <w:p w:rsidR="00AC1185" w:rsidRDefault="00AC1185" w:rsidP="00A4231C">
            <w:pPr>
              <w:pStyle w:val="BodyText"/>
              <w:jc w:val="left"/>
            </w:pPr>
            <w:r>
              <w:rPr>
                <w:rFonts w:ascii="ArialMT" w:hAnsi="ArialMT" w:cs="ArialMT"/>
              </w:rPr>
              <w:t xml:space="preserve">Highest priority of an alert. Alarms which indicate immediate danger to human life or to the ship and its machinery exits and require immediate action </w:t>
            </w:r>
            <w:r>
              <w:t>(IMO Res. A1021(26))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3.2.6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Decision-maker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>
              <w:t>A person or group authorized to make decisions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3.2.7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Decision support tool (DST)</w:t>
            </w:r>
          </w:p>
        </w:tc>
        <w:tc>
          <w:tcPr>
            <w:tcW w:w="7054" w:type="dxa"/>
          </w:tcPr>
          <w:p w:rsidR="00AC1185" w:rsidRDefault="00AC1185" w:rsidP="00A4231C">
            <w:pPr>
              <w:jc w:val="both"/>
            </w:pPr>
            <w:r>
              <w:rPr>
                <w:lang w:eastAsia="de-DE"/>
              </w:rPr>
              <w:t>A tool to assist the decision-maker at an operational, tactical and strategic level. This may be in real-time or at a tactical or strategic level</w:t>
            </w:r>
          </w:p>
          <w:p w:rsidR="00AC1185" w:rsidRDefault="00AC1185" w:rsidP="00A4231C">
            <w:pPr>
              <w:pStyle w:val="BodyText"/>
            </w:pP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3.2.8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Passive decision support tool</w:t>
            </w:r>
          </w:p>
        </w:tc>
        <w:tc>
          <w:tcPr>
            <w:tcW w:w="7054" w:type="dxa"/>
          </w:tcPr>
          <w:p w:rsidR="00AC1185" w:rsidRDefault="00AC1185" w:rsidP="00A4231C">
            <w:pPr>
              <w:pStyle w:val="BodyText"/>
              <w:jc w:val="left"/>
            </w:pPr>
            <w:r w:rsidRPr="000A42C9">
              <w:t xml:space="preserve">A tool </w:t>
            </w:r>
            <w:r>
              <w:t xml:space="preserve">that aids </w:t>
            </w:r>
            <w:r w:rsidRPr="000A42C9">
              <w:t xml:space="preserve">the </w:t>
            </w:r>
            <w:r>
              <w:t xml:space="preserve">process of </w:t>
            </w:r>
            <w:r w:rsidRPr="000A42C9">
              <w:t>decision</w:t>
            </w:r>
            <w:r>
              <w:t xml:space="preserve"> </w:t>
            </w:r>
            <w:r w:rsidRPr="000A42C9">
              <w:t>mak</w:t>
            </w:r>
            <w:r>
              <w:t>ing, but that cannot bring out explicit decision suggestions or solutions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3.2.9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Active decision support tool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>
              <w:rPr>
                <w:lang w:eastAsia="zh-CN"/>
              </w:rPr>
              <w:t>A tool that</w:t>
            </w:r>
            <w:r>
              <w:t xml:space="preserve"> bring</w:t>
            </w:r>
            <w:r>
              <w:rPr>
                <w:lang w:eastAsia="zh-CN"/>
              </w:rPr>
              <w:t>s</w:t>
            </w:r>
            <w:r>
              <w:t xml:space="preserve"> out decision suggestions or solutions to support decision making</w:t>
            </w:r>
          </w:p>
        </w:tc>
      </w:tr>
      <w:tr w:rsidR="00AC1185" w:rsidTr="00AC1185">
        <w:tc>
          <w:tcPr>
            <w:tcW w:w="851" w:type="dxa"/>
          </w:tcPr>
          <w:p w:rsidR="00AC1185" w:rsidRDefault="00AC1185" w:rsidP="00AC1185">
            <w:pPr>
              <w:pStyle w:val="BodyText"/>
              <w:jc w:val="left"/>
            </w:pPr>
            <w:r>
              <w:t>3.2.10</w:t>
            </w:r>
          </w:p>
        </w:tc>
        <w:tc>
          <w:tcPr>
            <w:tcW w:w="1984" w:type="dxa"/>
          </w:tcPr>
          <w:p w:rsidR="00AC1185" w:rsidRDefault="00AC1185" w:rsidP="00AC1185">
            <w:pPr>
              <w:pStyle w:val="BodyText"/>
              <w:jc w:val="left"/>
            </w:pPr>
            <w:r>
              <w:t>Cooperative decision support tool</w:t>
            </w:r>
          </w:p>
        </w:tc>
        <w:tc>
          <w:tcPr>
            <w:tcW w:w="7054" w:type="dxa"/>
          </w:tcPr>
          <w:p w:rsidR="00AC1185" w:rsidRDefault="00AC1185" w:rsidP="00AC1185">
            <w:pPr>
              <w:pStyle w:val="BodyText"/>
              <w:jc w:val="left"/>
            </w:pPr>
            <w:r w:rsidRPr="00C31C05">
              <w:rPr>
                <w:rFonts w:cs="Arial"/>
                <w:lang w:eastAsia="zh-CN"/>
              </w:rPr>
              <w:t>A</w:t>
            </w:r>
            <w:r w:rsidRPr="00C31C05">
              <w:rPr>
                <w:rFonts w:cs="Arial"/>
                <w:iCs/>
                <w:lang w:eastAsia="zh-CN"/>
              </w:rPr>
              <w:t xml:space="preserve"> tool that</w:t>
            </w:r>
            <w:r>
              <w:rPr>
                <w:rFonts w:cs="Arial"/>
                <w:lang w:eastAsia="zh-CN"/>
              </w:rPr>
              <w:t xml:space="preserve"> helps the decision-</w:t>
            </w:r>
            <w:r w:rsidRPr="00C31C05">
              <w:rPr>
                <w:rFonts w:cs="Arial"/>
                <w:lang w:eastAsia="zh-CN"/>
              </w:rPr>
              <w:t xml:space="preserve">maker to modify, </w:t>
            </w:r>
            <w:proofErr w:type="gramStart"/>
            <w:r w:rsidRPr="00C31C05">
              <w:rPr>
                <w:rFonts w:cs="Arial"/>
                <w:lang w:eastAsia="zh-CN"/>
              </w:rPr>
              <w:t>complete</w:t>
            </w:r>
            <w:proofErr w:type="gramEnd"/>
            <w:r w:rsidRPr="00C31C05">
              <w:rPr>
                <w:rFonts w:cs="Arial"/>
                <w:lang w:eastAsia="zh-CN"/>
              </w:rPr>
              <w:t>, or refine the decision suggestions provided by the tool, and feed back to the tool</w:t>
            </w:r>
            <w:r>
              <w:rPr>
                <w:rFonts w:cs="Arial"/>
                <w:lang w:eastAsia="zh-CN"/>
              </w:rPr>
              <w:t>.</w:t>
            </w:r>
            <w:r w:rsidRPr="00C31C05">
              <w:rPr>
                <w:rFonts w:cs="Arial"/>
                <w:lang w:eastAsia="zh-CN"/>
              </w:rPr>
              <w:t xml:space="preserve"> The tool again improves, completes, and refines the sugges</w:t>
            </w:r>
            <w:r>
              <w:rPr>
                <w:rFonts w:cs="Arial"/>
                <w:lang w:eastAsia="zh-CN"/>
              </w:rPr>
              <w:t>tions of the decision-maker and</w:t>
            </w:r>
            <w:r w:rsidRPr="00C31C05">
              <w:rPr>
                <w:rFonts w:cs="Arial"/>
                <w:lang w:eastAsia="zh-CN"/>
              </w:rPr>
              <w:t xml:space="preserve"> feedback for validation. The whole process </w:t>
            </w:r>
            <w:r>
              <w:rPr>
                <w:rFonts w:cs="Arial"/>
                <w:lang w:eastAsia="zh-CN"/>
              </w:rPr>
              <w:t>may start</w:t>
            </w:r>
            <w:r w:rsidRPr="00C31C05">
              <w:rPr>
                <w:rFonts w:cs="Arial"/>
                <w:lang w:eastAsia="zh-CN"/>
              </w:rPr>
              <w:t xml:space="preserve"> again, until a consolidated solution is generated</w:t>
            </w:r>
          </w:p>
        </w:tc>
      </w:tr>
    </w:tbl>
    <w:p w:rsidR="00A4231C" w:rsidRDefault="00A4231C" w:rsidP="00A4231C">
      <w:pPr>
        <w:pStyle w:val="BodyText"/>
      </w:pPr>
    </w:p>
    <w:p w:rsidR="008C10DE" w:rsidRDefault="008C10DE" w:rsidP="008C10DE">
      <w:pPr>
        <w:pStyle w:val="Heading1"/>
      </w:pPr>
      <w:r>
        <w:t>Already in Dictionary</w:t>
      </w:r>
    </w:p>
    <w:p w:rsidR="008C10DE" w:rsidRDefault="008C10DE" w:rsidP="008C10DE">
      <w:pPr>
        <w:pStyle w:val="Heading2"/>
      </w:pPr>
      <w:r>
        <w:t>Acronyms</w:t>
      </w:r>
    </w:p>
    <w:tbl>
      <w:tblPr>
        <w:tblStyle w:val="TableGrid"/>
        <w:tblW w:w="0" w:type="auto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848"/>
        <w:gridCol w:w="1960"/>
        <w:gridCol w:w="6938"/>
      </w:tblGrid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3.1.1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IALA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no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3.1.2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IMO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no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3.1.3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VTS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yes, under “</w:t>
            </w:r>
            <w:r w:rsidRPr="005A5F6A">
              <w:t>Vessel Traffic Services</w:t>
            </w:r>
            <w:r>
              <w:t xml:space="preserve"> (VTS)”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lastRenderedPageBreak/>
              <w:t>3.1.4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VTSO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yes, under “VTS Operator (VTSO)”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3.1.5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INS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yes, under “VTS services” (but no</w:t>
            </w:r>
            <w:r w:rsidR="007F26C7">
              <w:t>t</w:t>
            </w:r>
            <w:r>
              <w:t xml:space="preserve"> </w:t>
            </w:r>
            <w:r w:rsidR="007F26C7">
              <w:t xml:space="preserve">as </w:t>
            </w:r>
            <w:r>
              <w:t>abbreviation)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3.1.6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TOS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yes, under “VTS services” (but no</w:t>
            </w:r>
            <w:r w:rsidR="007F26C7">
              <w:t>t</w:t>
            </w:r>
            <w:r>
              <w:t xml:space="preserve"> </w:t>
            </w:r>
            <w:r w:rsidR="007F26C7">
              <w:t xml:space="preserve">as </w:t>
            </w:r>
            <w:r>
              <w:t>abbreviation)</w:t>
            </w:r>
          </w:p>
        </w:tc>
      </w:tr>
      <w:tr w:rsidR="0095597C" w:rsidTr="0095597C">
        <w:tc>
          <w:tcPr>
            <w:tcW w:w="851" w:type="dxa"/>
          </w:tcPr>
          <w:p w:rsidR="0095597C" w:rsidRDefault="0095597C" w:rsidP="0095597C">
            <w:pPr>
              <w:pStyle w:val="BodyText"/>
              <w:jc w:val="left"/>
            </w:pPr>
            <w:r>
              <w:t>3.1.7</w:t>
            </w:r>
          </w:p>
        </w:tc>
        <w:tc>
          <w:tcPr>
            <w:tcW w:w="1984" w:type="dxa"/>
          </w:tcPr>
          <w:p w:rsidR="0095597C" w:rsidRDefault="0095597C" w:rsidP="0095597C">
            <w:pPr>
              <w:pStyle w:val="BodyText"/>
              <w:jc w:val="left"/>
            </w:pPr>
            <w:r>
              <w:t>NAS</w:t>
            </w:r>
          </w:p>
        </w:tc>
        <w:tc>
          <w:tcPr>
            <w:tcW w:w="7054" w:type="dxa"/>
          </w:tcPr>
          <w:p w:rsidR="0095597C" w:rsidRDefault="0095597C" w:rsidP="0095597C">
            <w:pPr>
              <w:pStyle w:val="BodyText"/>
              <w:jc w:val="left"/>
            </w:pPr>
            <w:r>
              <w:t>yes, under “VTS services” (but no</w:t>
            </w:r>
            <w:r w:rsidR="007F26C7">
              <w:t>t</w:t>
            </w:r>
            <w:r>
              <w:t xml:space="preserve"> </w:t>
            </w:r>
            <w:r w:rsidR="007F26C7">
              <w:t xml:space="preserve">as </w:t>
            </w:r>
            <w:r>
              <w:t>abbreviation)</w:t>
            </w:r>
          </w:p>
        </w:tc>
      </w:tr>
    </w:tbl>
    <w:p w:rsidR="00A4231C" w:rsidRDefault="00A4231C" w:rsidP="00A4231C">
      <w:pPr>
        <w:pStyle w:val="BodyText"/>
      </w:pPr>
    </w:p>
    <w:p w:rsidR="00D513EE" w:rsidRDefault="00D513EE" w:rsidP="00D513EE">
      <w:pPr>
        <w:pStyle w:val="Heading2"/>
        <w:rPr>
          <w:b w:val="0"/>
        </w:rPr>
      </w:pPr>
      <w:r>
        <w:t>Definitions</w:t>
      </w:r>
    </w:p>
    <w:tbl>
      <w:tblPr>
        <w:tblStyle w:val="TableGrid"/>
        <w:tblW w:w="0" w:type="auto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851"/>
        <w:gridCol w:w="1971"/>
        <w:gridCol w:w="6924"/>
      </w:tblGrid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3.2.1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Alarm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t>no, only “Alarm system”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3.2.2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Alert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t>no, only “Alert limit (or threshold value)”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3.2.3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Caution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rPr>
                <w:rFonts w:ascii="ArialMT" w:hAnsi="ArialMT" w:cs="ArialMT"/>
              </w:rP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3.2.4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Warning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3.2.5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Emergency alarm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rPr>
                <w:rFonts w:ascii="ArialMT" w:hAnsi="ArialMT" w:cs="ArialMT"/>
              </w:rP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3.2.6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Decision-maker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3.2.7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Decision support tool (DST)</w:t>
            </w:r>
          </w:p>
        </w:tc>
        <w:tc>
          <w:tcPr>
            <w:tcW w:w="7054" w:type="dxa"/>
          </w:tcPr>
          <w:p w:rsidR="00D513EE" w:rsidRDefault="00D513EE" w:rsidP="00D513EE">
            <w:pPr>
              <w:jc w:val="both"/>
            </w:pPr>
            <w:r>
              <w:rPr>
                <w:lang w:eastAsia="de-DE"/>
              </w:rPr>
              <w:t>no</w:t>
            </w:r>
          </w:p>
          <w:p w:rsidR="00D513EE" w:rsidRDefault="00D513EE" w:rsidP="00D513EE">
            <w:pPr>
              <w:pStyle w:val="BodyText"/>
            </w:pP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3.2.8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Passive decision support tool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3.2.9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Active decision support tool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rPr>
                <w:lang w:eastAsia="zh-CN"/>
              </w:rPr>
              <w:t>no</w:t>
            </w:r>
          </w:p>
        </w:tc>
      </w:tr>
      <w:tr w:rsidR="00D513EE" w:rsidTr="00D513EE">
        <w:tc>
          <w:tcPr>
            <w:tcW w:w="851" w:type="dxa"/>
          </w:tcPr>
          <w:p w:rsidR="00D513EE" w:rsidRDefault="00D513EE" w:rsidP="00D513EE">
            <w:pPr>
              <w:pStyle w:val="BodyText"/>
              <w:jc w:val="left"/>
            </w:pPr>
            <w:r>
              <w:t>3.2.10</w:t>
            </w:r>
          </w:p>
        </w:tc>
        <w:tc>
          <w:tcPr>
            <w:tcW w:w="1984" w:type="dxa"/>
          </w:tcPr>
          <w:p w:rsidR="00D513EE" w:rsidRDefault="00D513EE" w:rsidP="00D513EE">
            <w:pPr>
              <w:pStyle w:val="BodyText"/>
              <w:jc w:val="left"/>
            </w:pPr>
            <w:r>
              <w:t>Cooperative decision support tool</w:t>
            </w:r>
          </w:p>
        </w:tc>
        <w:tc>
          <w:tcPr>
            <w:tcW w:w="7054" w:type="dxa"/>
          </w:tcPr>
          <w:p w:rsidR="00D513EE" w:rsidRDefault="00D513EE" w:rsidP="00D513EE">
            <w:pPr>
              <w:pStyle w:val="BodyText"/>
              <w:jc w:val="left"/>
            </w:pPr>
            <w:r>
              <w:rPr>
                <w:rFonts w:cs="Arial"/>
                <w:lang w:eastAsia="zh-CN"/>
              </w:rPr>
              <w:t>no</w:t>
            </w:r>
          </w:p>
        </w:tc>
      </w:tr>
    </w:tbl>
    <w:p w:rsidR="00D513EE" w:rsidRDefault="00D513EE" w:rsidP="00D513EE">
      <w:pPr>
        <w:pStyle w:val="BodyText"/>
      </w:pPr>
    </w:p>
    <w:p w:rsidR="00D513EE" w:rsidRDefault="00476EEE" w:rsidP="00D513EE">
      <w:pPr>
        <w:pStyle w:val="Heading1"/>
      </w:pPr>
      <w:r>
        <w:t>proposals</w:t>
      </w:r>
    </w:p>
    <w:p w:rsidR="00476EEE" w:rsidRDefault="00476EEE" w:rsidP="00476EEE">
      <w:pPr>
        <w:pStyle w:val="Heading2"/>
        <w:numPr>
          <w:ilvl w:val="0"/>
          <w:numId w:val="0"/>
        </w:numPr>
        <w:ind w:left="709" w:hanging="709"/>
        <w:rPr>
          <w:b w:val="0"/>
        </w:rPr>
      </w:pPr>
      <w:r>
        <w:rPr>
          <w:b w:val="0"/>
        </w:rPr>
        <w:t xml:space="preserve">1 </w:t>
      </w:r>
      <w:r>
        <w:rPr>
          <w:b w:val="0"/>
        </w:rPr>
        <w:tab/>
      </w:r>
      <w:r w:rsidRPr="00476EEE">
        <w:rPr>
          <w:b w:val="0"/>
        </w:rPr>
        <w:t xml:space="preserve">Add directory “Acronyms” or “Abbreviations” </w:t>
      </w:r>
      <w:r>
        <w:rPr>
          <w:b w:val="0"/>
        </w:rPr>
        <w:t>in</w:t>
      </w:r>
      <w:r w:rsidRPr="00476EEE">
        <w:rPr>
          <w:b w:val="0"/>
        </w:rPr>
        <w:t xml:space="preserve"> IALA Dictionary and</w:t>
      </w:r>
    </w:p>
    <w:p w:rsidR="00476EEE" w:rsidRDefault="00476EEE" w:rsidP="00476EEE">
      <w:pPr>
        <w:pStyle w:val="Heading2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1a</w:t>
      </w:r>
      <w:r>
        <w:rPr>
          <w:b w:val="0"/>
        </w:rPr>
        <w:tab/>
        <w:t>insert acronyms 3.1.1 and 3.1.2 and</w:t>
      </w:r>
    </w:p>
    <w:p w:rsidR="00476EEE" w:rsidRDefault="00476EEE" w:rsidP="00476EEE">
      <w:pPr>
        <w:pStyle w:val="BodyText"/>
        <w:ind w:left="1418" w:hanging="709"/>
      </w:pPr>
      <w:r>
        <w:t>1b</w:t>
      </w:r>
      <w:r>
        <w:tab/>
        <w:t>take over acronyms from the IALA Dictionary (note: not the definitions!) to this new directory included acronyms 3.1.3 to 3.1.7</w:t>
      </w:r>
    </w:p>
    <w:p w:rsidR="00476EEE" w:rsidRDefault="00476EEE" w:rsidP="00476EEE">
      <w:pPr>
        <w:pStyle w:val="BodyText"/>
      </w:pPr>
    </w:p>
    <w:p w:rsidR="00476EEE" w:rsidRDefault="00476EEE" w:rsidP="00476EEE">
      <w:pPr>
        <w:pStyle w:val="BodyText"/>
      </w:pPr>
      <w:r>
        <w:t>2</w:t>
      </w:r>
      <w:r>
        <w:tab/>
        <w:t xml:space="preserve">Add definitions 3.2.1 to 3.2.10 to IALA Dictionary. </w:t>
      </w:r>
    </w:p>
    <w:p w:rsidR="00476EEE" w:rsidRPr="00476EEE" w:rsidRDefault="00476EEE" w:rsidP="00476EEE">
      <w:pPr>
        <w:pStyle w:val="BodyText"/>
        <w:ind w:left="1418" w:hanging="709"/>
      </w:pPr>
    </w:p>
    <w:p w:rsidR="00180DDA" w:rsidRDefault="00180DDA" w:rsidP="00A446C9">
      <w:pPr>
        <w:pStyle w:val="Heading1"/>
      </w:pPr>
      <w:r>
        <w:t>References</w:t>
      </w:r>
    </w:p>
    <w:p w:rsidR="007404B9" w:rsidRDefault="007404B9" w:rsidP="007404B9">
      <w:pPr>
        <w:pStyle w:val="BodyText"/>
      </w:pPr>
      <w:r>
        <w:t>- IALA Guideline No. 1110: Use of Decision Support Tools for VTS personnel</w:t>
      </w:r>
    </w:p>
    <w:p w:rsidR="007404B9" w:rsidRDefault="007404B9" w:rsidP="007404B9">
      <w:pPr>
        <w:pStyle w:val="BodyText"/>
      </w:pPr>
      <w:r>
        <w:t>- IALA Dictionary</w:t>
      </w:r>
    </w:p>
    <w:p w:rsidR="007404B9" w:rsidRDefault="007404B9" w:rsidP="007404B9">
      <w:pPr>
        <w:pStyle w:val="BodyText"/>
      </w:pPr>
      <w:r>
        <w:t>- PAP22/7/1</w:t>
      </w:r>
    </w:p>
    <w:p w:rsidR="00476EEE" w:rsidRPr="00476EEE" w:rsidRDefault="00476EEE" w:rsidP="00476EEE">
      <w:pPr>
        <w:pStyle w:val="BodyText"/>
        <w:rPr>
          <w:lang w:eastAsia="de-DE"/>
        </w:rPr>
      </w:pPr>
    </w:p>
    <w:p w:rsidR="00A446C9" w:rsidRDefault="00A446C9" w:rsidP="00A446C9">
      <w:pPr>
        <w:pStyle w:val="Heading1"/>
      </w:pPr>
      <w:r>
        <w:lastRenderedPageBreak/>
        <w:t xml:space="preserve">Action requested of the </w:t>
      </w:r>
      <w:r w:rsidR="007404B9">
        <w:t xml:space="preserve">VTS </w:t>
      </w:r>
      <w:r>
        <w:t>Committee</w:t>
      </w:r>
    </w:p>
    <w:p w:rsidR="004D1D85" w:rsidRPr="004D1D85" w:rsidRDefault="00F25BF4" w:rsidP="00A55A5D">
      <w:pPr>
        <w:pStyle w:val="BodyText"/>
      </w:pPr>
      <w:r>
        <w:t xml:space="preserve">The </w:t>
      </w:r>
      <w:r w:rsidR="007404B9">
        <w:t xml:space="preserve">VTS </w:t>
      </w:r>
      <w:r>
        <w:t xml:space="preserve">Committee </w:t>
      </w:r>
      <w:r w:rsidR="007404B9">
        <w:t xml:space="preserve">plenary and the VTS Committee chair is requested to consider </w:t>
      </w:r>
      <w:proofErr w:type="gramStart"/>
      <w:r w:rsidR="007404B9">
        <w:t>proposals</w:t>
      </w:r>
      <w:r w:rsidR="00A55A5D">
        <w:t>,</w:t>
      </w:r>
      <w:proofErr w:type="gramEnd"/>
      <w:r w:rsidR="00A55A5D">
        <w:t xml:space="preserve"> take action to PAP and Council and change and update the IALA Dictionary as indicated.</w:t>
      </w:r>
    </w:p>
    <w:sectPr w:rsidR="004D1D85" w:rsidRPr="004D1D85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37" w:rsidRDefault="00BB1237" w:rsidP="00362CD9">
      <w:r>
        <w:separator/>
      </w:r>
    </w:p>
  </w:endnote>
  <w:endnote w:type="continuationSeparator" w:id="0">
    <w:p w:rsidR="00BB1237" w:rsidRDefault="00BB123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4B9" w:rsidRDefault="007404B9">
    <w:pPr>
      <w:pStyle w:val="Footer"/>
    </w:pPr>
    <w:r>
      <w:tab/>
    </w:r>
    <w:r w:rsidR="00BB1237">
      <w:fldChar w:fldCharType="begin"/>
    </w:r>
    <w:r w:rsidR="00BB1237">
      <w:instrText xml:space="preserve"> PAGE   \* MERGEFORMAT </w:instrText>
    </w:r>
    <w:r w:rsidR="00BB1237">
      <w:fldChar w:fldCharType="separate"/>
    </w:r>
    <w:r w:rsidR="0052475E">
      <w:rPr>
        <w:noProof/>
      </w:rPr>
      <w:t>1</w:t>
    </w:r>
    <w:r w:rsidR="00BB123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37" w:rsidRDefault="00BB1237" w:rsidP="00362CD9">
      <w:r>
        <w:separator/>
      </w:r>
    </w:p>
  </w:footnote>
  <w:footnote w:type="continuationSeparator" w:id="0">
    <w:p w:rsidR="00BB1237" w:rsidRDefault="00BB1237" w:rsidP="00362CD9">
      <w:r>
        <w:continuationSeparator/>
      </w:r>
    </w:p>
  </w:footnote>
  <w:footnote w:id="1">
    <w:p w:rsidR="007404B9" w:rsidRPr="00EA5A97" w:rsidRDefault="007404B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7404B9" w:rsidRPr="00037DF4" w:rsidRDefault="007404B9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376AA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73268"/>
    <w:rsid w:val="00476EEE"/>
    <w:rsid w:val="004D1D85"/>
    <w:rsid w:val="004D3C3A"/>
    <w:rsid w:val="004E1CD1"/>
    <w:rsid w:val="005107EB"/>
    <w:rsid w:val="00521345"/>
    <w:rsid w:val="0052475E"/>
    <w:rsid w:val="00526DF0"/>
    <w:rsid w:val="00545CC4"/>
    <w:rsid w:val="00551FFF"/>
    <w:rsid w:val="005607A2"/>
    <w:rsid w:val="0057198B"/>
    <w:rsid w:val="0058697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404B9"/>
    <w:rsid w:val="007547F8"/>
    <w:rsid w:val="00765622"/>
    <w:rsid w:val="00770B6C"/>
    <w:rsid w:val="00783FEA"/>
    <w:rsid w:val="007F26C7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C10DE"/>
    <w:rsid w:val="008D1694"/>
    <w:rsid w:val="008D79CB"/>
    <w:rsid w:val="008F07BC"/>
    <w:rsid w:val="0092692B"/>
    <w:rsid w:val="00943E9C"/>
    <w:rsid w:val="00953F4D"/>
    <w:rsid w:val="0095597C"/>
    <w:rsid w:val="00960BB8"/>
    <w:rsid w:val="00964F5C"/>
    <w:rsid w:val="009831C0"/>
    <w:rsid w:val="00A0389B"/>
    <w:rsid w:val="00A4231C"/>
    <w:rsid w:val="00A446C9"/>
    <w:rsid w:val="00A55A5D"/>
    <w:rsid w:val="00A635D6"/>
    <w:rsid w:val="00A8553A"/>
    <w:rsid w:val="00A93AED"/>
    <w:rsid w:val="00AC1185"/>
    <w:rsid w:val="00B226F2"/>
    <w:rsid w:val="00B274DF"/>
    <w:rsid w:val="00B50B45"/>
    <w:rsid w:val="00B56BDF"/>
    <w:rsid w:val="00B65812"/>
    <w:rsid w:val="00B85CD6"/>
    <w:rsid w:val="00B90A27"/>
    <w:rsid w:val="00B9554D"/>
    <w:rsid w:val="00BB1237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E2E02"/>
    <w:rsid w:val="00CF1871"/>
    <w:rsid w:val="00D1133E"/>
    <w:rsid w:val="00D17A34"/>
    <w:rsid w:val="00D26628"/>
    <w:rsid w:val="00D332B3"/>
    <w:rsid w:val="00D513EE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D1BEA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numbering" w:customStyle="1" w:styleId="Artikelsectie">
    <w:name w:val="Artikelsecti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FDD8-C2FD-4272-87B0-AFC3E73C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730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MARIN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2015-03-02T13:02:00Z</dcterms:created>
  <dcterms:modified xsi:type="dcterms:W3CDTF">2015-03-05T18:47:00Z</dcterms:modified>
</cp:coreProperties>
</file>